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6"/>
          <w:szCs w:val="26"/>
        </w:rPr>
        <w:t xml:space="preserve">Программа семинара-конференции </w:t>
      </w:r>
    </w:p>
    <w:p>
      <w:pPr>
        <w:pStyle w:val="style0"/>
        <w:jc w:val="center"/>
      </w:pPr>
      <w:r>
        <w:rPr>
          <w:b/>
          <w:sz w:val="26"/>
          <w:szCs w:val="26"/>
        </w:rPr>
        <w:t xml:space="preserve">«Принципы биологической безопасности в микробиологических лабораториях» </w:t>
      </w:r>
    </w:p>
    <w:p>
      <w:pPr>
        <w:pStyle w:val="style0"/>
        <w:jc w:val="center"/>
      </w:pPr>
      <w:r>
        <w:rPr/>
        <w:t xml:space="preserve">(для вирусологов, микробиологов, эпидемиологов и работников здравоохранения стран СНГ, </w:t>
      </w:r>
    </w:p>
    <w:p>
      <w:pPr>
        <w:pStyle w:val="style0"/>
        <w:jc w:val="center"/>
      </w:pPr>
      <w:r>
        <w:rPr/>
        <w:t>14-18 октября 2013 г.</w:t>
      </w:r>
      <w:r>
        <w:rPr>
          <w:b/>
          <w:sz w:val="28"/>
          <w:szCs w:val="28"/>
        </w:rPr>
        <w:t>)</w:t>
      </w:r>
    </w:p>
    <w:tbl>
      <w:tblPr>
        <w:jc w:val="left"/>
        <w:tblInd w:type="dxa" w:w="-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8646"/>
      </w:tblGrid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(день 1)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Регистрация участников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Открытие семинара</w:t>
            </w:r>
          </w:p>
          <w:p>
            <w:pPr>
              <w:pStyle w:val="style0"/>
              <w:jc w:val="both"/>
            </w:pPr>
            <w:r>
              <w:rPr>
                <w:rStyle w:val="style19"/>
                <w:rFonts w:ascii="Times New Roman" w:hAnsi="Times New Roman"/>
                <w:b/>
                <w:sz w:val="20"/>
                <w:szCs w:val="20"/>
              </w:rPr>
              <w:t>Дэвид Франц</w:t>
            </w:r>
            <w:r>
              <w:rPr>
                <w:rFonts w:ascii="Times New Roman" w:hAnsi="Times New Roman"/>
                <w:sz w:val="20"/>
                <w:szCs w:val="20"/>
              </w:rPr>
              <w:t>, Консультант и профессор, Университет Канзаса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Мамед Азаев, заведующий отделом подготовки кадров, ГНЦ ВБ «Вектор» 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Сергей Нетёсов</w:t>
            </w:r>
            <w:r>
              <w:rPr>
                <w:rFonts w:ascii="Times New Roman" w:hAnsi="Times New Roman"/>
                <w:sz w:val="20"/>
                <w:szCs w:val="20"/>
              </w:rPr>
              <w:t>,  проректор по научной работе НГУ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Сергей Нетёсов</w:t>
            </w:r>
            <w:r>
              <w:rPr>
                <w:rFonts w:ascii="Times New Roman" w:hAnsi="Times New Roman"/>
                <w:sz w:val="20"/>
                <w:szCs w:val="20"/>
              </w:rPr>
              <w:t>. Классификация инфекционных микроорганизмов по группам риска. Отличия в классификации, рекомендуемой ВОЗ и принятой в России. Концепция биологической безопасности в лабораторных условиях. Применение принципов биобезопасности в клинической медицине.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Кофе-брейк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Лариса Урютова</w:t>
            </w:r>
            <w:r>
              <w:rPr>
                <w:rFonts w:ascii="Times New Roman" w:hAnsi="Times New Roman"/>
                <w:sz w:val="20"/>
                <w:szCs w:val="20"/>
              </w:rPr>
              <w:t>. Уровень биологической безопасности 3 (назначение, конструктивные особенности; лабораторное оборудование; доступ персонала; защита персонала, медицинский контроль и наблюдение за здоровьем).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Лариса Урютова</w:t>
            </w:r>
            <w:r>
              <w:rPr>
                <w:rFonts w:ascii="Times New Roman" w:hAnsi="Times New Roman"/>
                <w:sz w:val="20"/>
                <w:szCs w:val="20"/>
              </w:rPr>
              <w:t>.  Уровни биологической безопасности 1 и 2 (требования к лабораторной мебели и лабораторному оборудованию; доступ персонала; защита персонала; медицинский контроль и наблюдение за здоровьем).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 Болдырев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ПЦР-диагностика геморрагических лихорадок.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Кофе-брейк.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Краткие сообщения участников из стран Центральной Азии о вспышках актуальных заболеваний и других поучительных случаях из практики.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(день 2)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Александра Дадаева, Наталья Зубавичене</w:t>
            </w:r>
            <w:r>
              <w:rPr>
                <w:rFonts w:ascii="Times New Roman" w:hAnsi="Times New Roman"/>
                <w:sz w:val="20"/>
                <w:szCs w:val="20"/>
              </w:rPr>
              <w:t>. Стандартные меры предосторожности при работе с кровью, другими жидкостями организма, органами, тканями.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Наталья Зубавичене, Екатерина Генина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Использование СИЗ в работе при различных уровнях биологической безопасности (теория и практика).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Кофе-брейк.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  <w:lang w:val="en-US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Александра Дадаева, Наталья Зубавичене</w:t>
            </w:r>
            <w:r>
              <w:rPr>
                <w:rFonts w:ascii="Times New Roman" w:hAnsi="Times New Roman"/>
                <w:sz w:val="20"/>
                <w:szCs w:val="20"/>
              </w:rPr>
              <w:t>. Сообщения об авариях и аварийных ситуациях. Планы и процедуры в чрезвычайных ситуациях.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Разбивка на 3 группы и работа с группами. Решение ситуативных задач по обеспечению биологической безопасности.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Ведущие: М. Азаев, Т. Ильичева, Д.Франц, С. Нетесов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Обед.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Разбивка на 3 группы и работа с группами. Решение ситуативных задач по обеспечению биологической безопасности.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Ведущие: М. Азаев, Т.Ильичева, Д.Франц, С. Нетесов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50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Кофе-брейк.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Краткие сообщения участников из стран Центральной Азии о вспышках актуальных заболеваний и других поучительных случаях из практики.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 (день 3)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1. Постановка ОТ-ПЦР: подготовка образцов и выделение РНК.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 ОТ-ПЦР для обнаружения РНК вируса гриппа.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Ведущие: В. А. Терновой, А.Н. Шиков, Т.Н.Ильичева </w:t>
            </w:r>
            <w:r>
              <w:rPr>
                <w:rFonts w:ascii="Times New Roman" w:hAnsi="Times New Roman"/>
                <w:sz w:val="20"/>
                <w:szCs w:val="20"/>
              </w:rPr>
              <w:t>(теория и практика)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Группа 2. Экскурсия в виварий Института цитологии и генетики.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3. Занятие по эпидемиологии.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Кофе-брейк.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2. Постановка ОТ-ПЦР: подготовка образцов и выделение РНК. 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 ОТ-ПЦР для обнаружения РНК вируса гриппа.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Ведущие: В. А. Терновой, Т.Н.Ильичева, А.Н.Шиков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(теория и практика).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Группа 3. Экскурсия в виварий Института цитологии и генетики.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Группа 1. Занятие по эпидемиологии.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Обед.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1. Экскурсия в виварий Института цитологии и генетики. 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Группа 2. Занятие по эпидемиологии.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Группа 3. Постановка ОТ-ПЦР: подготовка образцов и выделение РНК. </w:t>
            </w:r>
          </w:p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 ОТ-ПЦР для обнаружения РНК вируса гриппа.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Ведущие: В. А. Терновой, Т.Н.Ильичева, А.Н.Шиков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(теория и практика).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17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Владимир Терновой, Александр Шиков</w:t>
            </w:r>
            <w:r>
              <w:rPr>
                <w:rFonts w:ascii="Times New Roman" w:hAnsi="Times New Roman"/>
                <w:sz w:val="20"/>
                <w:szCs w:val="20"/>
              </w:rPr>
              <w:t>. Регистрация и интерпретация результатов ОТ-ПЦР для обнаружения РНК вируса гриппа: опыт работы лабораторной сети ВОЗ</w:t>
            </w:r>
            <w:r>
              <w:rPr>
                <w:rStyle w:val="style19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Станислав Сороченко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Дезинфекция и стерилизация. Очистка лабораторных материалов. Деконтаминация боксов биологической безопасности и вивария. Химическая и высокотемпературная дезинфекция и стерилизация. Удаление отходов. Сжигание. 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Ужин в Академгородке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(день 4)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Дэвид Франц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 «Интеграция ББ/БЗ и ответственного поведения в области наук о жизни»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Круглый стол: проблемы биобезопасности в клинической, лабораторной и научной практике. Специалисты США, России и стран Центральной Азии.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Ведущие: Сергей Нетесов, Дэйвид Франц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Кофе-брейк.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Style w:val="style19"/>
                <w:rFonts w:ascii="Times New Roman" w:hAnsi="Times New Roman"/>
                <w:b/>
                <w:sz w:val="20"/>
                <w:szCs w:val="20"/>
              </w:rPr>
              <w:t>Людмила Бакулина</w:t>
            </w:r>
            <w:r>
              <w:rPr>
                <w:rStyle w:val="style19"/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Основы перевозки инфекционных материалов. Международные правила перевозки. Базовый принцип тройной упаковки. Процедура обработки пролившегося материала.</w:t>
            </w:r>
            <w:r>
              <w:rPr>
                <w:rStyle w:val="style19"/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соответствия планировки лабораторных помещений правилам биобезопасности (слушатели проводят анализ расположения комнат в своих лабораториях).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Ведущие: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Дэвид Франц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Сергей Нетёсов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Обед.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15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Валерий Локтев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Проблемы завозных тропических инфекций. Возникающие инфекции в странах Центральной Азии. 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Татьяна Ильичева</w:t>
            </w:r>
            <w:r>
              <w:rPr>
                <w:rFonts w:ascii="Times New Roman" w:hAnsi="Times New Roman"/>
                <w:sz w:val="20"/>
                <w:szCs w:val="20"/>
              </w:rPr>
              <w:t>. Ортомиксовирусы (эпидемиология, диагностика).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17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Кофе-брейк.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17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Мамед Азаев</w:t>
            </w:r>
            <w:r>
              <w:rPr>
                <w:rFonts w:ascii="Times New Roman" w:hAnsi="Times New Roman"/>
                <w:sz w:val="20"/>
                <w:szCs w:val="20"/>
              </w:rPr>
              <w:t>. Преподавание основ биобезопасности: Образовательная деятельность ФБУН  ГНЦ ВБ «Вектор».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- 18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итогов работы семинара. Вручение сертификатов.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Мамед Азаев, заведующий отделом подготовки кадров, ГНЦ ВБ «Вектор» </w:t>
            </w:r>
          </w:p>
          <w:p>
            <w:pPr>
              <w:pStyle w:val="style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Сергей Нетёсов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проректор по научной работе НГУ </w:t>
            </w:r>
          </w:p>
          <w:p>
            <w:pPr>
              <w:pStyle w:val="style0"/>
              <w:jc w:val="both"/>
            </w:pPr>
            <w:r>
              <w:rPr>
                <w:rStyle w:val="style19"/>
                <w:rFonts w:ascii="Times New Roman" w:hAnsi="Times New Roman"/>
                <w:b/>
                <w:sz w:val="20"/>
                <w:szCs w:val="20"/>
              </w:rPr>
              <w:t>Дэвид Франц</w:t>
            </w:r>
            <w:r>
              <w:rPr>
                <w:rFonts w:ascii="Times New Roman" w:hAnsi="Times New Roman"/>
                <w:sz w:val="20"/>
                <w:szCs w:val="20"/>
              </w:rPr>
              <w:t>, Консультант и профессор, Университет Канзаса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 ужин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(день 5)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</w:tr>
      <w:tr>
        <w:trPr>
          <w:cantSplit w:val="false"/>
        </w:trPr>
        <w:tc>
          <w:tcPr>
            <w:tcW w:type="dxa" w:w="15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type="dxa" w:w="86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  <w:sz w:val="20"/>
                <w:szCs w:val="20"/>
              </w:rPr>
              <w:t>Экскурсии по городу и Академгородку, отлет участников</w:t>
            </w:r>
          </w:p>
        </w:tc>
      </w:tr>
    </w:tbl>
    <w:p>
      <w:pPr>
        <w:pStyle w:val="style0"/>
        <w:jc w:val="both"/>
      </w:pPr>
      <w:r>
        <w:rPr>
          <w:sz w:val="16"/>
          <w:szCs w:val="16"/>
        </w:rPr>
      </w:r>
    </w:p>
    <w:p>
      <w:pPr>
        <w:pStyle w:val="style0"/>
        <w:jc w:val="both"/>
      </w:pPr>
      <w:r>
        <w:rPr>
          <w:sz w:val="22"/>
          <w:szCs w:val="22"/>
        </w:rPr>
        <w:t>При разработке программы использованы следующие нормативные документы:</w:t>
      </w:r>
    </w:p>
    <w:p>
      <w:pPr>
        <w:pStyle w:val="style0"/>
        <w:jc w:val="both"/>
      </w:pPr>
      <w:r>
        <w:rPr>
          <w:sz w:val="22"/>
          <w:szCs w:val="22"/>
        </w:rPr>
      </w:r>
    </w:p>
    <w:p>
      <w:pPr>
        <w:pStyle w:val="style0"/>
        <w:numPr>
          <w:ilvl w:val="0"/>
          <w:numId w:val="1"/>
        </w:numPr>
        <w:tabs>
          <w:tab w:leader="none" w:pos="227" w:val="left"/>
          <w:tab w:leader="none" w:pos="969" w:val="left"/>
        </w:tabs>
        <w:ind w:hanging="360" w:left="-57" w:right="0"/>
        <w:jc w:val="both"/>
      </w:pPr>
      <w:r>
        <w:rPr/>
        <w:t xml:space="preserve"> </w:t>
      </w:r>
      <w:r>
        <w:rPr>
          <w:sz w:val="16"/>
          <w:szCs w:val="16"/>
        </w:rPr>
        <w:t>«Практическое руководство по биологической безопасности в лабораторных условиях», ВОЗ, издание 3-е, Женева, 2004 г.</w:t>
      </w:r>
    </w:p>
    <w:p>
      <w:pPr>
        <w:pStyle w:val="style0"/>
        <w:numPr>
          <w:ilvl w:val="0"/>
          <w:numId w:val="1"/>
        </w:numPr>
        <w:tabs>
          <w:tab w:leader="none" w:pos="227" w:val="left"/>
          <w:tab w:leader="none" w:pos="969" w:val="left"/>
        </w:tabs>
        <w:ind w:hanging="360" w:left="-57" w:right="0"/>
        <w:jc w:val="both"/>
      </w:pPr>
      <w:r>
        <w:rPr>
          <w:sz w:val="16"/>
          <w:szCs w:val="16"/>
        </w:rPr>
        <w:t xml:space="preserve">Санитарно-эпидемиологические правила "Безопасность работы с микроорганизмами I-II групп патогенности (опасности). СП 1.3.1285-03". </w:t>
      </w:r>
    </w:p>
    <w:p>
      <w:pPr>
        <w:pStyle w:val="style0"/>
        <w:numPr>
          <w:ilvl w:val="0"/>
          <w:numId w:val="1"/>
        </w:numPr>
        <w:tabs>
          <w:tab w:leader="none" w:pos="227" w:val="left"/>
          <w:tab w:leader="none" w:pos="969" w:val="left"/>
        </w:tabs>
        <w:ind w:hanging="360" w:left="-57" w:right="0"/>
        <w:jc w:val="both"/>
      </w:pPr>
      <w:r>
        <w:rPr>
          <w:sz w:val="16"/>
          <w:szCs w:val="16"/>
        </w:rPr>
        <w:t>Санитарные правила "Безопасность работы с микроорганизмами III-IV групп патогенности и гельминтами. СП 1.3.2322-08.</w:t>
      </w:r>
    </w:p>
    <w:p>
      <w:pPr>
        <w:pStyle w:val="style0"/>
        <w:jc w:val="both"/>
      </w:pPr>
      <w:r>
        <w:rPr>
          <w:sz w:val="16"/>
          <w:szCs w:val="16"/>
        </w:rPr>
        <w:t>«Порядок учета, хранения, передачи и транспортирования микроорганизмов I-IV групп патогенности». СП 1.2.036-95</w:t>
      </w:r>
    </w:p>
    <w:sectPr>
      <w:footerReference r:id="rId2" w:type="default"/>
      <w:type w:val="nextPage"/>
      <w:pgSz w:h="16838" w:w="11906"/>
      <w:pgMar w:bottom="765" w:footer="708" w:gutter="0" w:header="0" w:left="1134" w:right="707" w:top="85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Arial">
    <w:charset w:val="80"/>
    <w:family w:val="swiss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1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pStyle w:val="style28"/>
    <w:top w:val="none"/>
    <w:left w:val="none"/>
    <w:bottom w:val="none"/>
    <w:insideH w:val="none"/>
    <w:right w:val="none"/>
    <w:insideV w:val="none"/>
    <w:pPr/>
  </w:p>
  <w:p>
    <w:r>
      <w:rPr>
        <w:rStyle w:val="style1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pStyle w:val="style28"/>
    <w:top w:val="none"/>
    <w:left w:val="none"/>
    <w:bottom w:val="none"/>
    <w:insideH w:val="none"/>
    <w:right w:val="none"/>
    <w:insideV w:val="none"/>
    <w:pPr/>
  </w:p>
  <w:p>
    <w:pPr>
      <w:pStyle w:val="style28"/>
      <w:ind w:hanging="0" w:left="0" w:right="360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next w:val="style16"/>
    <w:rPr>
      <w:rFonts w:ascii="Times New Roman" w:cs="Times New Roman" w:eastAsia="Times New Roman" w:hAnsi="Times New Roman"/>
      <w:sz w:val="24"/>
      <w:szCs w:val="20"/>
      <w:lang w:eastAsia="ru-RU"/>
    </w:rPr>
  </w:style>
  <w:style w:styleId="style17" w:type="character">
    <w:name w:val="Нижний колонтитул Знак"/>
    <w:next w:val="style17"/>
    <w:rPr>
      <w:rFonts w:ascii="Times New Roman" w:cs="Times New Roman" w:eastAsia="Times New Roman" w:hAnsi="Times New Roman"/>
      <w:sz w:val="24"/>
      <w:szCs w:val="24"/>
      <w:lang w:eastAsia="ru-RU"/>
    </w:rPr>
  </w:style>
  <w:style w:styleId="style18" w:type="character">
    <w:name w:val="page number"/>
    <w:basedOn w:val="style15"/>
    <w:next w:val="style18"/>
    <w:rPr/>
  </w:style>
  <w:style w:styleId="style19" w:type="character">
    <w:name w:val="hps"/>
    <w:basedOn w:val="style15"/>
    <w:next w:val="style19"/>
    <w:rPr/>
  </w:style>
  <w:style w:styleId="style20" w:type="character">
    <w:name w:val="Emphasis"/>
    <w:next w:val="style20"/>
    <w:rPr>
      <w:b/>
      <w:bCs/>
      <w:i w:val="false"/>
      <w:iCs w:val="false"/>
    </w:rPr>
  </w:style>
  <w:style w:styleId="style21" w:type="character">
    <w:name w:val="st1"/>
    <w:basedOn w:val="style15"/>
    <w:next w:val="style21"/>
    <w:rPr/>
  </w:style>
  <w:style w:styleId="style22" w:type="character">
    <w:name w:val="short_text"/>
    <w:basedOn w:val="style15"/>
    <w:next w:val="style22"/>
    <w:rPr/>
  </w:style>
  <w:style w:styleId="style23" w:type="paragraph">
    <w:name w:val="Heading"/>
    <w:basedOn w:val="style0"/>
    <w:next w:val="style24"/>
    <w:pPr>
      <w:keepNext/>
      <w:widowControl w:val="false"/>
      <w:spacing w:after="120" w:before="240"/>
      <w:contextualSpacing w:val="false"/>
    </w:pPr>
    <w:rPr>
      <w:rFonts w:ascii="Arial" w:cs="Arial" w:eastAsia="Times New Roman" w:hAnsi="Arial"/>
      <w:b/>
      <w:bCs/>
      <w:color w:val="auto"/>
      <w:sz w:val="22"/>
      <w:szCs w:val="22"/>
    </w:rPr>
  </w:style>
  <w:style w:styleId="style24" w:type="paragraph">
    <w:name w:val="Text Body"/>
    <w:basedOn w:val="style0"/>
    <w:next w:val="style24"/>
    <w:pPr>
      <w:spacing w:line="360" w:lineRule="auto"/>
      <w:jc w:val="both"/>
    </w:pPr>
    <w:rPr>
      <w:sz w:val="20"/>
      <w:szCs w:val="20"/>
    </w:rPr>
  </w:style>
  <w:style w:styleId="style25" w:type="paragraph">
    <w:name w:val="List"/>
    <w:basedOn w:val="style24"/>
    <w:next w:val="style25"/>
    <w:pPr/>
    <w:rPr/>
  </w:style>
  <w:style w:styleId="style26" w:type="paragraph">
    <w:name w:val="Caption"/>
    <w:basedOn w:val="style0"/>
    <w:next w:val="style26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7" w:type="paragraph">
    <w:name w:val="Index"/>
    <w:basedOn w:val="style0"/>
    <w:next w:val="style27"/>
    <w:pPr>
      <w:suppressLineNumbers/>
    </w:pPr>
    <w:rPr/>
  </w:style>
  <w:style w:styleId="style28" w:type="paragraph">
    <w:name w:val="Footer"/>
    <w:basedOn w:val="style0"/>
    <w:next w:val="style28"/>
    <w:pPr>
      <w:tabs>
        <w:tab w:leader="none" w:pos="4677" w:val="center"/>
        <w:tab w:leader="none" w:pos="9355" w:val="right"/>
      </w:tabs>
    </w:pPr>
    <w:rPr/>
  </w:style>
  <w:style w:styleId="style29" w:type="paragraph">
    <w:name w:val="Знак"/>
    <w:basedOn w:val="style0"/>
    <w:next w:val="style29"/>
    <w:pPr>
      <w:spacing w:after="160" w:before="0" w:line="240" w:lineRule="exact"/>
      <w:contextualSpacing w:val="false"/>
    </w:pPr>
    <w:rPr>
      <w:rFonts w:eastAsia="SimSun"/>
      <w:b/>
      <w:sz w:val="28"/>
      <w:lang w:eastAsia="en-US" w:val="en-US"/>
    </w:rPr>
  </w:style>
  <w:style w:styleId="style30" w:type="paragraph">
    <w:name w:val="List Paragraph"/>
    <w:basedOn w:val="style0"/>
    <w:next w:val="style30"/>
    <w:pPr>
      <w:spacing w:after="200" w:before="0" w:line="276" w:lineRule="auto"/>
      <w:ind w:hanging="0"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styleId="style31" w:type="paragraph">
    <w:name w:val="Frame Contents"/>
    <w:basedOn w:val="style24"/>
    <w:next w:val="style31"/>
    <w:pPr/>
    <w:rPr/>
  </w:style>
  <w:style w:styleId="style32" w:type="paragraph">
    <w:name w:val="Table Contents"/>
    <w:basedOn w:val="style0"/>
    <w:next w:val="style32"/>
    <w:pPr/>
    <w:rPr/>
  </w:style>
  <w:style w:styleId="style33" w:type="paragraph">
    <w:name w:val="Table Heading"/>
    <w:basedOn w:val="style32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2013-10-10T03:00:00.00Z</dcterms:created>
  <dc:creator>Азаев М.Ш.</dc:creator>
  <cp:lastModifiedBy>Нетесов_С_В</cp:lastModifiedBy>
  <dcterms:modified xsi:type="dcterms:W3CDTF">2013-10-10T03:00:00.00Z</dcterms:modified>
  <cp:revision>2</cp:revision>
</cp:coreProperties>
</file>