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  <w:lang w:val="en-US"/>
        </w:rPr>
        <w:t xml:space="preserve">Program of the Workshop-Conference </w:t>
      </w:r>
    </w:p>
    <w:p>
      <w:pPr>
        <w:pStyle w:val="style0"/>
        <w:jc w:val="center"/>
      </w:pPr>
      <w:r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  <w:lang w:val="en-US"/>
        </w:rPr>
        <w:t>Biosafety principles in microbiological laboratories”</w:t>
      </w:r>
    </w:p>
    <w:p>
      <w:pPr>
        <w:pStyle w:val="style0"/>
        <w:jc w:val="center"/>
      </w:pPr>
      <w:r>
        <w:rPr>
          <w:lang w:val="en-US"/>
        </w:rPr>
        <w:t xml:space="preserve">(for virologists, microbiologists, epidemiologists and public health workers of CIS countries, </w:t>
      </w:r>
    </w:p>
    <w:p>
      <w:pPr>
        <w:pStyle w:val="style0"/>
        <w:jc w:val="center"/>
      </w:pPr>
      <w:r>
        <w:rPr>
          <w:lang w:val="en-US"/>
        </w:rPr>
        <w:t>October 14-18, 2013</w:t>
      </w:r>
      <w:r>
        <w:rPr>
          <w:b/>
          <w:sz w:val="28"/>
          <w:szCs w:val="28"/>
          <w:lang w:val="en-US"/>
        </w:rPr>
        <w:t xml:space="preserve">)  </w:t>
      </w:r>
    </w:p>
    <w:p>
      <w:pPr>
        <w:pStyle w:val="style0"/>
        <w:jc w:val="center"/>
      </w:pPr>
      <w:r>
        <w:rPr>
          <w:rFonts w:ascii="Times New Roman" w:hAnsi="Times New Roman"/>
          <w:sz w:val="20"/>
          <w:szCs w:val="20"/>
          <w:lang w:val="en-US"/>
        </w:rPr>
      </w:r>
    </w:p>
    <w:tbl>
      <w:tblPr>
        <w:jc w:val="left"/>
        <w:tblInd w:type="dxa" w:w="-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8646"/>
      </w:tblGrid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Monday (Day 1)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Registration of participants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Opening of the Workshop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Glenn Schweitzer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Director of the Office for Central </w:t>
            </w:r>
            <w:r>
              <w:rPr>
                <w:rStyle w:val="style20"/>
                <w:rFonts w:ascii="Times New Roman" w:hAnsi="Times New Roman"/>
                <w:b w:val="false"/>
                <w:color w:val="444444"/>
                <w:sz w:val="20"/>
                <w:szCs w:val="20"/>
                <w:lang w:val="en-US"/>
              </w:rPr>
              <w:t>Europe</w:t>
            </w:r>
            <w:r>
              <w:rPr>
                <w:rStyle w:val="style21"/>
                <w:rFonts w:ascii="Times New Roman" w:hAnsi="Times New Roman"/>
                <w:color w:val="444444"/>
                <w:sz w:val="20"/>
                <w:szCs w:val="20"/>
                <w:lang w:val="en-US"/>
              </w:rPr>
              <w:t xml:space="preserve"> and Eurasia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NAS,  USA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David Franz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Consultant and Professor, University of Kansas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Mamedyar Azayev,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Head of Biosafety Educational Unit at the SRC VB “Vector”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Sergey  Netesov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Vice-Rector (Research) at the Novosibirsk State University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Sergey Netesov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Classification of infectious microorganisms by risk groups. The differences between the classification recommended by the WHO and that accepted in Russia. The concept of laboratories biosafety; description of  biosafety levels.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Coffee break.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Larissa Uryutova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Biosafety Level 3 (design features, laboratory equipment, personnel access and protection, medical monitoring and health surveillance).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Lunch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Larissa Uryutova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 Biosafety Levels 1 and 2 (requirements for laboratory furniture and laboratory equipment, personnel access and protection, medical monitoring and health surveillance).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Alexandr Boldyrev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PCR diagnostics of hemorrhagic fevers.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Coffee break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40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Brief reports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participants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from Central Asian countries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on outbreaks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infectious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diseases and other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instructive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cases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from practice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Tuesday (Day 2)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Alexandra Dadaeva, Natalya Zubavichene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Standard precautions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when working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with blood,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other body fluids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organs, and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tissues.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Natalya Zubavichene,  Ekaterina Genina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The use of PPE when working at different Biosafety levels (theory and practice). 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Coffee break.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Alexandra Dadaeva, Natalya Zubavichene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 xml:space="preserve">The reporting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of accidents and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emergencies.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Plans and procedures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for emergency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situations.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Dividing to 4-5 groups and work with groups. Solving situational problems to ensure biosafety. Moderators: M.Azayev, T.Ilyicheva, D.Franz, S. Netesov, J.Leduc, J.Silva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Lunch.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Dividing to 3 groups and work with groups. Discussions and solving situational problems to ensure biosafety. Moderators: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M.Azayev, T.Ilyicheva, D.Franz, S.Netesov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50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Coffee break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40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Brief reports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participants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from Central Asian countries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on outbreaks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relevant diseases and other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instructive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cases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from practice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Wednesday (Day 3)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Group 1. RT-PCR procedure: preparation of samples and RNA extraction.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RT-PCR method for detection of influenza virus RNA.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V.A. Ternovoy, A.N. Shikov, T.N. Ilyicheva (theory and practice).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Group 2. Excursion to the Vivarium of the Institute of Cytology and Genetics.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Group 3. Epidemiological exercise.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Coffee break.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Group 2. RT-PCR procedure: preparation of samples and RNA extraction. 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RT-PCR method for detection of influenza virus RNA.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V.A. Ternovoy, T.N. Ilyicheva, A.N.Shikov (theory and practice).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Group 3. Excursion to the Vivarium of the Institute of Cytology and Genetics.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Group 1. Epidemiological exercise.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Lunch.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Group 1. Excursion to the Vivarium of the Institute of Cytology and Genetics. 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Group 2. Epidemiological exercise.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Group 3. RT-PCR procedure: preparation of samples and RNA extraction. RT-PCR method for detection of influenza virus RNA.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V.A. Ternovoy, T.N. Ilyicheva, A.N.Shikov (theory and practice).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5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Vladimir Ternovoy, Alexandr Shikov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Registration and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interpretation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results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 xml:space="preserve"> of RT-PCR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for detection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influenza virus RNA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the experience of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the WHO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laboratory network.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Stanislav Sorochenko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Disinfection and sterilization.  Decontamination of biological safety cabinets and the vivarium. Chemical and thermal disinfection and sterilization. Waste disposal. Incineration. 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Thursday (Day 4)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David Franz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“Integration of Biosafety/Biosecurity with Responsibility of Researchers in Life Sciences”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Roundtable discussion: biosafety problems in clinical, laboratory and scientific practice. Specialist from the USA, Russia and Central Asian countries.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Moderators:  Sergey Netesov and David Franz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Coffee break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Style w:val="style19"/>
                <w:rFonts w:ascii="Times New Roman" w:hAnsi="Times New Roman"/>
                <w:b/>
                <w:sz w:val="20"/>
                <w:szCs w:val="20"/>
                <w:lang w:val="en-US"/>
              </w:rPr>
              <w:t>Lyudmila Bakulina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. Main principles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transportation of infectious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materials.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transportation regulations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Basics of triple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packaging.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Procedures for inactivation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 xml:space="preserve">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 xml:space="preserve">spilt material. 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ssessment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 xml:space="preserve">of conformity of laboratory room layouts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with b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iosafety regulations (attendees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analyze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the location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the laboratory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rooms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19"/>
                <w:rFonts w:ascii="Times New Roman" w:hAnsi="Times New Roman"/>
                <w:sz w:val="20"/>
                <w:szCs w:val="20"/>
                <w:lang w:val="en-US"/>
              </w:rPr>
              <w:t>in their laboratories)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Moderators: Nadezda Yun, David Franz, Sergey Netesov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Lunch.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3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Valery Loktev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The problems of imported zoonotic infections. Emerging infections in the Central Asia countries.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40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Tatyana  Ilyicheva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Orthomyxoviruses (epidemiology and  diagnostics).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5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Coffee break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Mamedyar Azayev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 Training in biosafety: Educational activities of SRC VB  Vector.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Summing up the Workshop activities. Delivery of certificates. 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David Franz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Consultant and Professor, University of Kansas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Mamedyar Azayev,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Head of Biosafety Education Unit at the SRC VB “Vector”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Sergey  Netesov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Vice-Rector (Research) at NSU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Farewell Lunch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Friday (Day 5)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Breakfast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a.m.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Excursions and departure</w:t>
            </w:r>
          </w:p>
        </w:tc>
      </w:tr>
    </w:tbl>
    <w:p>
      <w:pPr>
        <w:pStyle w:val="style0"/>
        <w:jc w:val="both"/>
      </w:pPr>
      <w:bookmarkStart w:id="0" w:name="_GoBack"/>
      <w:bookmarkStart w:id="1" w:name="_GoBack"/>
      <w:bookmarkEnd w:id="1"/>
      <w:r>
        <w:rPr>
          <w:rFonts w:ascii="Times New Roman" w:hAnsi="Times New Roman"/>
          <w:sz w:val="20"/>
          <w:szCs w:val="20"/>
        </w:rPr>
      </w:r>
    </w:p>
    <w:p>
      <w:pPr>
        <w:pStyle w:val="style0"/>
        <w:jc w:val="both"/>
      </w:pPr>
      <w:r>
        <w:rPr>
          <w:sz w:val="16"/>
          <w:szCs w:val="16"/>
          <w:lang w:val="en-US"/>
        </w:rPr>
        <w:t>The following normative documents were used to develop the Program:</w:t>
      </w:r>
    </w:p>
    <w:p>
      <w:pPr>
        <w:pStyle w:val="style0"/>
        <w:jc w:val="both"/>
      </w:pPr>
      <w:r>
        <w:rPr>
          <w:sz w:val="16"/>
          <w:szCs w:val="16"/>
          <w:lang w:val="en-US"/>
        </w:rPr>
      </w:r>
    </w:p>
    <w:p>
      <w:pPr>
        <w:pStyle w:val="style0"/>
        <w:numPr>
          <w:ilvl w:val="0"/>
          <w:numId w:val="1"/>
        </w:numPr>
        <w:tabs>
          <w:tab w:leader="none" w:pos="227" w:val="left"/>
          <w:tab w:leader="none" w:pos="969" w:val="left"/>
        </w:tabs>
        <w:ind w:hanging="360" w:left="-57" w:right="0"/>
        <w:jc w:val="both"/>
      </w:pPr>
      <w:r>
        <w:rPr>
          <w:sz w:val="16"/>
          <w:szCs w:val="16"/>
          <w:lang w:val="en-US"/>
        </w:rPr>
        <w:t>“</w:t>
      </w:r>
      <w:r>
        <w:rPr>
          <w:sz w:val="16"/>
          <w:szCs w:val="16"/>
          <w:lang w:val="en-US"/>
        </w:rPr>
        <w:t>Laboratory Biosafety Manual”, WHO, 3</w:t>
      </w:r>
      <w:r>
        <w:rPr>
          <w:sz w:val="16"/>
          <w:szCs w:val="16"/>
          <w:vertAlign w:val="superscript"/>
          <w:lang w:val="en-US"/>
        </w:rPr>
        <w:t>rd</w:t>
      </w:r>
      <w:r>
        <w:rPr>
          <w:sz w:val="16"/>
          <w:szCs w:val="16"/>
          <w:lang w:val="en-US"/>
        </w:rPr>
        <w:t xml:space="preserve"> Edition, Geneva, 2004.</w:t>
      </w:r>
    </w:p>
    <w:p>
      <w:pPr>
        <w:pStyle w:val="style0"/>
        <w:numPr>
          <w:ilvl w:val="0"/>
          <w:numId w:val="1"/>
        </w:numPr>
        <w:tabs>
          <w:tab w:leader="none" w:pos="227" w:val="left"/>
          <w:tab w:leader="none" w:pos="969" w:val="left"/>
        </w:tabs>
        <w:ind w:hanging="360" w:left="-57" w:right="0"/>
        <w:jc w:val="both"/>
      </w:pPr>
      <w:r>
        <w:rPr>
          <w:sz w:val="16"/>
          <w:szCs w:val="16"/>
          <w:lang w:val="en-US"/>
        </w:rPr>
        <w:t xml:space="preserve">Sanitary and Epidemiological Rules “Safety of work with </w:t>
      </w:r>
      <w:r>
        <w:rPr>
          <w:rStyle w:val="style19"/>
          <w:sz w:val="16"/>
          <w:szCs w:val="16"/>
          <w:lang w:val="en-US"/>
        </w:rPr>
        <w:t>microorganisms</w:t>
      </w:r>
      <w:r>
        <w:rPr>
          <w:sz w:val="16"/>
          <w:szCs w:val="16"/>
          <w:lang w:val="en-US"/>
        </w:rPr>
        <w:t xml:space="preserve"> of 1-2</w:t>
      </w:r>
      <w:r>
        <w:rPr>
          <w:rStyle w:val="style19"/>
          <w:sz w:val="16"/>
          <w:szCs w:val="16"/>
          <w:lang w:val="en-US"/>
        </w:rPr>
        <w:t xml:space="preserve"> groups of pathogenicity </w:t>
      </w:r>
      <w:r>
        <w:rPr>
          <w:sz w:val="16"/>
          <w:szCs w:val="16"/>
          <w:lang w:val="en-US"/>
        </w:rPr>
        <w:t xml:space="preserve">(danger)”. SR 1.3.1285-03. </w:t>
      </w:r>
    </w:p>
    <w:p>
      <w:pPr>
        <w:pStyle w:val="style0"/>
        <w:numPr>
          <w:ilvl w:val="0"/>
          <w:numId w:val="1"/>
        </w:numPr>
        <w:tabs>
          <w:tab w:leader="none" w:pos="227" w:val="left"/>
          <w:tab w:leader="none" w:pos="969" w:val="left"/>
        </w:tabs>
        <w:ind w:hanging="360" w:left="-57" w:right="0"/>
        <w:jc w:val="both"/>
      </w:pPr>
      <w:r>
        <w:rPr>
          <w:sz w:val="16"/>
          <w:szCs w:val="16"/>
          <w:lang w:val="en-US"/>
        </w:rPr>
        <w:t xml:space="preserve">Sanitary Rules “Safety of work with </w:t>
      </w:r>
      <w:r>
        <w:rPr>
          <w:rStyle w:val="style19"/>
          <w:sz w:val="16"/>
          <w:szCs w:val="16"/>
          <w:lang w:val="en-US"/>
        </w:rPr>
        <w:t>microorganisms</w:t>
      </w:r>
      <w:r>
        <w:rPr>
          <w:sz w:val="16"/>
          <w:szCs w:val="16"/>
          <w:lang w:val="en-US"/>
        </w:rPr>
        <w:t xml:space="preserve"> of 3-4 </w:t>
      </w:r>
      <w:r>
        <w:rPr>
          <w:rStyle w:val="style19"/>
          <w:sz w:val="16"/>
          <w:szCs w:val="16"/>
          <w:lang w:val="en-US"/>
        </w:rPr>
        <w:t>groups of pathogenicity</w:t>
      </w:r>
      <w:r>
        <w:rPr>
          <w:sz w:val="16"/>
          <w:szCs w:val="16"/>
          <w:lang w:val="en-US"/>
        </w:rPr>
        <w:t xml:space="preserve"> and helminths”. SR 1.3.2322-08.</w:t>
      </w:r>
    </w:p>
    <w:p>
      <w:pPr>
        <w:pStyle w:val="style0"/>
        <w:numPr>
          <w:ilvl w:val="0"/>
          <w:numId w:val="1"/>
        </w:numPr>
        <w:tabs>
          <w:tab w:leader="none" w:pos="227" w:val="left"/>
          <w:tab w:leader="none" w:pos="969" w:val="left"/>
        </w:tabs>
        <w:ind w:hanging="360" w:left="-57" w:right="0"/>
        <w:jc w:val="both"/>
      </w:pPr>
      <w:r>
        <w:rPr>
          <w:sz w:val="16"/>
          <w:szCs w:val="16"/>
          <w:lang w:val="en-US"/>
        </w:rPr>
        <w:t>“</w:t>
      </w:r>
      <w:r>
        <w:rPr>
          <w:bCs/>
          <w:iCs/>
          <w:sz w:val="16"/>
          <w:szCs w:val="16"/>
          <w:lang w:val="en-US"/>
        </w:rPr>
        <w:t>The procedure for registration,</w:t>
      </w:r>
      <w:r>
        <w:rPr>
          <w:sz w:val="16"/>
          <w:szCs w:val="16"/>
          <w:lang w:val="en-US"/>
        </w:rPr>
        <w:t xml:space="preserve"> </w:t>
      </w:r>
      <w:r>
        <w:rPr>
          <w:bCs/>
          <w:iCs/>
          <w:sz w:val="16"/>
          <w:szCs w:val="16"/>
          <w:lang w:val="en-US"/>
        </w:rPr>
        <w:t xml:space="preserve">storage, transfer and transport </w:t>
      </w:r>
      <w:r>
        <w:rPr>
          <w:sz w:val="16"/>
          <w:szCs w:val="16"/>
          <w:lang w:val="en-US"/>
        </w:rPr>
        <w:t xml:space="preserve">of </w:t>
      </w:r>
      <w:r>
        <w:rPr>
          <w:rStyle w:val="style19"/>
          <w:sz w:val="16"/>
          <w:szCs w:val="16"/>
          <w:lang w:val="en-US"/>
        </w:rPr>
        <w:t>microorganisms</w:t>
      </w:r>
      <w:r>
        <w:rPr>
          <w:sz w:val="16"/>
          <w:szCs w:val="16"/>
          <w:lang w:val="en-US"/>
        </w:rPr>
        <w:t xml:space="preserve"> of 1-4 </w:t>
      </w:r>
      <w:r>
        <w:rPr>
          <w:rStyle w:val="style19"/>
          <w:sz w:val="16"/>
          <w:szCs w:val="16"/>
          <w:lang w:val="en-US"/>
        </w:rPr>
        <w:t>pathogenicity groups”</w:t>
      </w:r>
      <w:r>
        <w:rPr>
          <w:sz w:val="16"/>
          <w:szCs w:val="16"/>
          <w:lang w:val="en-US"/>
        </w:rPr>
        <w:t>. SR 1.2.036-95.</w:t>
      </w:r>
    </w:p>
    <w:sectPr>
      <w:footerReference r:id="rId2" w:type="default"/>
      <w:type w:val="nextPage"/>
      <w:pgSz w:h="16838" w:w="11906"/>
      <w:pgMar w:bottom="1134" w:footer="708" w:gutter="0" w:header="0" w:left="1134" w:right="707" w:top="85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1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pStyle w:val="style27"/>
    <w:top w:val="none"/>
    <w:left w:val="none"/>
    <w:bottom w:val="none"/>
    <w:insideH w:val="none"/>
    <w:right w:val="none"/>
    <w:insideV w:val="none"/>
    <w:pPr/>
  </w:p>
  <w:p>
    <w:r>
      <w:rPr>
        <w:rStyle w:val="style1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pStyle w:val="style27"/>
    <w:top w:val="none"/>
    <w:left w:val="none"/>
    <w:bottom w:val="none"/>
    <w:insideH w:val="none"/>
    <w:right w:val="none"/>
    <w:insideV w:val="none"/>
    <w:pPr/>
  </w:p>
  <w:p>
    <w:pPr>
      <w:pStyle w:val="style27"/>
      <w:ind w:hanging="0" w:left="0" w:right="360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next w:val="style16"/>
    <w:rPr>
      <w:rFonts w:ascii="Times New Roman" w:cs="Times New Roman" w:eastAsia="Times New Roman" w:hAnsi="Times New Roman"/>
      <w:sz w:val="24"/>
      <w:szCs w:val="20"/>
      <w:lang w:eastAsia="ru-RU"/>
    </w:rPr>
  </w:style>
  <w:style w:styleId="style17" w:type="character">
    <w:name w:val="Нижний колонтитул Знак"/>
    <w:next w:val="style17"/>
    <w:rPr>
      <w:rFonts w:ascii="Times New Roman" w:cs="Times New Roman" w:eastAsia="Times New Roman" w:hAnsi="Times New Roman"/>
      <w:sz w:val="24"/>
      <w:szCs w:val="24"/>
      <w:lang w:eastAsia="ru-RU"/>
    </w:rPr>
  </w:style>
  <w:style w:styleId="style18" w:type="character">
    <w:name w:val="page number"/>
    <w:basedOn w:val="style15"/>
    <w:next w:val="style18"/>
    <w:rPr/>
  </w:style>
  <w:style w:styleId="style19" w:type="character">
    <w:name w:val="hps"/>
    <w:basedOn w:val="style15"/>
    <w:next w:val="style19"/>
    <w:rPr/>
  </w:style>
  <w:style w:styleId="style20" w:type="character">
    <w:name w:val="Emphasis"/>
    <w:next w:val="style20"/>
    <w:rPr>
      <w:b/>
      <w:bCs/>
      <w:i w:val="false"/>
      <w:iCs w:val="false"/>
    </w:rPr>
  </w:style>
  <w:style w:styleId="style21" w:type="character">
    <w:name w:val="st1"/>
    <w:basedOn w:val="style15"/>
    <w:next w:val="style21"/>
    <w:rPr/>
  </w:style>
  <w:style w:styleId="style22" w:type="paragraph">
    <w:name w:val="Heading"/>
    <w:basedOn w:val="style0"/>
    <w:next w:val="style23"/>
    <w:pPr>
      <w:keepNext/>
      <w:widowControl w:val="false"/>
      <w:spacing w:after="120" w:before="240"/>
      <w:contextualSpacing w:val="false"/>
    </w:pPr>
    <w:rPr>
      <w:rFonts w:ascii="Arial" w:cs="Arial" w:eastAsia="Times New Roman" w:hAnsi="Arial"/>
      <w:b/>
      <w:bCs/>
      <w:color w:val="auto"/>
      <w:sz w:val="22"/>
      <w:szCs w:val="22"/>
    </w:rPr>
  </w:style>
  <w:style w:styleId="style23" w:type="paragraph">
    <w:name w:val="Text Body"/>
    <w:basedOn w:val="style0"/>
    <w:next w:val="style23"/>
    <w:pPr>
      <w:spacing w:line="360" w:lineRule="auto"/>
      <w:jc w:val="both"/>
    </w:pPr>
    <w:rPr>
      <w:sz w:val="20"/>
      <w:szCs w:val="20"/>
    </w:rPr>
  </w:style>
  <w:style w:styleId="style24" w:type="paragraph">
    <w:name w:val="List"/>
    <w:basedOn w:val="style23"/>
    <w:next w:val="style24"/>
    <w:pPr/>
    <w:rPr/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/>
  </w:style>
  <w:style w:styleId="style27" w:type="paragraph">
    <w:name w:val="Footer"/>
    <w:basedOn w:val="style0"/>
    <w:next w:val="style27"/>
    <w:pPr>
      <w:tabs>
        <w:tab w:leader="none" w:pos="4677" w:val="center"/>
        <w:tab w:leader="none" w:pos="9355" w:val="right"/>
      </w:tabs>
    </w:pPr>
    <w:rPr/>
  </w:style>
  <w:style w:styleId="style28" w:type="paragraph">
    <w:name w:val="Знак"/>
    <w:basedOn w:val="style0"/>
    <w:next w:val="style28"/>
    <w:pPr>
      <w:spacing w:after="160" w:before="0" w:line="240" w:lineRule="exact"/>
      <w:contextualSpacing w:val="false"/>
    </w:pPr>
    <w:rPr>
      <w:rFonts w:eastAsia="SimSun"/>
      <w:b/>
      <w:sz w:val="28"/>
      <w:lang w:eastAsia="en-US" w:val="en-US"/>
    </w:rPr>
  </w:style>
  <w:style w:styleId="style29" w:type="paragraph">
    <w:name w:val="List Paragraph"/>
    <w:basedOn w:val="style0"/>
    <w:next w:val="style29"/>
    <w:pPr>
      <w:spacing w:after="200" w:before="0" w:line="276" w:lineRule="auto"/>
      <w:ind w:hanging="0"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styleId="style30" w:type="paragraph">
    <w:name w:val="Frame Contents"/>
    <w:basedOn w:val="style23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2013-10-10T03:11:00.00Z</dcterms:created>
  <dc:creator>Азаев М.Ш.</dc:creator>
  <cp:lastModifiedBy>Нетесов_С_В</cp:lastModifiedBy>
  <dcterms:modified xsi:type="dcterms:W3CDTF">2013-10-10T03:11:00.00Z</dcterms:modified>
  <cp:revision>2</cp:revision>
</cp:coreProperties>
</file>